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36618B" w14:textId="4599EC72" w:rsidR="0010052A" w:rsidRPr="0010052A" w:rsidRDefault="0010052A" w:rsidP="0010052A">
      <w:pPr>
        <w:tabs>
          <w:tab w:val="left" w:pos="3106"/>
          <w:tab w:val="center" w:pos="4536"/>
          <w:tab w:val="right" w:pos="9498"/>
        </w:tabs>
        <w:spacing w:after="0" w:line="240" w:lineRule="auto"/>
        <w:contextualSpacing/>
        <w:rPr>
          <w:rFonts w:ascii="Arial" w:eastAsia="等线" w:hAnsi="Arial" w:cs="Arial"/>
          <w:b/>
          <w:bCs/>
          <w:sz w:val="28"/>
          <w:szCs w:val="28"/>
          <w:highlight w:val="yellow"/>
          <w:lang w:val="en-US" w:eastAsia="zh-CN"/>
        </w:rPr>
      </w:pPr>
      <w:bookmarkStart w:id="0" w:name="_Hlk171003560"/>
      <w:r w:rsidRPr="0010052A">
        <w:rPr>
          <w:rFonts w:ascii="Arial" w:eastAsia="等线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10052A">
        <w:rPr>
          <w:rFonts w:ascii="Arial" w:eastAsia="等线" w:hAnsi="Arial" w:cs="Arial"/>
          <w:b/>
          <w:sz w:val="28"/>
          <w:szCs w:val="28"/>
          <w:lang w:val="en-US" w:eastAsia="zh-CN"/>
        </w:rPr>
        <w:t>1</w:t>
      </w:r>
      <w:r w:rsidRPr="0010052A">
        <w:rPr>
          <w:rFonts w:ascii="Arial" w:eastAsia="等线" w:hAnsi="Arial" w:cs="Arial" w:hint="eastAsia"/>
          <w:b/>
          <w:sz w:val="28"/>
          <w:szCs w:val="28"/>
          <w:lang w:val="en-US" w:eastAsia="zh-CN"/>
        </w:rPr>
        <w:t>1</w:t>
      </w:r>
      <w:r w:rsidR="00407648">
        <w:rPr>
          <w:rFonts w:ascii="Arial" w:eastAsia="等线" w:hAnsi="Arial" w:cs="Arial"/>
          <w:b/>
          <w:sz w:val="28"/>
          <w:szCs w:val="28"/>
          <w:lang w:val="en-US" w:eastAsia="zh-CN"/>
        </w:rPr>
        <w:t>9</w:t>
      </w:r>
      <w:r w:rsidRPr="0010052A">
        <w:rPr>
          <w:rFonts w:ascii="Arial" w:eastAsia="等线" w:hAnsi="Arial" w:cs="Arial"/>
          <w:b/>
          <w:bCs/>
          <w:sz w:val="28"/>
          <w:szCs w:val="28"/>
          <w:lang w:val="en-US" w:eastAsia="zh-CN"/>
        </w:rPr>
        <w:tab/>
      </w:r>
      <w:r w:rsidR="00E14E0C">
        <w:rPr>
          <w:rFonts w:ascii="Arial" w:eastAsia="等线" w:hAnsi="Arial" w:cs="Arial"/>
          <w:b/>
          <w:bCs/>
          <w:sz w:val="28"/>
          <w:szCs w:val="28"/>
          <w:lang w:val="en-US" w:eastAsia="zh-CN"/>
        </w:rPr>
        <w:t xml:space="preserve">  </w:t>
      </w:r>
      <w:r w:rsidRPr="0010052A">
        <w:rPr>
          <w:rFonts w:ascii="Arial" w:eastAsia="等线" w:hAnsi="Arial" w:cs="Arial"/>
          <w:b/>
          <w:bCs/>
          <w:sz w:val="28"/>
          <w:szCs w:val="28"/>
          <w:lang w:val="en-US" w:eastAsia="zh-CN"/>
        </w:rPr>
        <w:t>R1-</w:t>
      </w:r>
      <w:r w:rsidR="00A442F0" w:rsidRPr="00A442F0">
        <w:rPr>
          <w:rFonts w:ascii="Arial" w:eastAsia="等线" w:hAnsi="Arial" w:cs="Arial"/>
          <w:b/>
          <w:bCs/>
          <w:sz w:val="28"/>
          <w:szCs w:val="28"/>
          <w:lang w:val="en-US" w:eastAsia="zh-CN"/>
        </w:rPr>
        <w:t>240</w:t>
      </w:r>
      <w:r w:rsidR="00E14E0C">
        <w:rPr>
          <w:rFonts w:ascii="Arial" w:eastAsia="等线" w:hAnsi="Arial" w:cs="Arial"/>
          <w:b/>
          <w:bCs/>
          <w:sz w:val="28"/>
          <w:szCs w:val="28"/>
          <w:lang w:val="en-US" w:eastAsia="zh-CN"/>
        </w:rPr>
        <w:t>9623</w:t>
      </w:r>
    </w:p>
    <w:p w14:paraId="53F60A6F" w14:textId="04558597" w:rsidR="0010052A" w:rsidRDefault="00407648" w:rsidP="0010052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 w:line="288" w:lineRule="auto"/>
        <w:textAlignment w:val="baseline"/>
        <w:rPr>
          <w:rFonts w:ascii="Arial" w:eastAsia="宋体" w:hAnsi="Arial" w:cs="Arial"/>
          <w:b/>
          <w:sz w:val="28"/>
          <w:szCs w:val="28"/>
          <w:lang w:val="en-US" w:eastAsia="zh-CN"/>
        </w:rPr>
      </w:pPr>
      <w:r w:rsidRPr="00407648">
        <w:rPr>
          <w:rFonts w:ascii="Arial" w:eastAsia="宋体" w:hAnsi="Arial" w:cs="Arial"/>
          <w:b/>
          <w:sz w:val="28"/>
          <w:szCs w:val="28"/>
          <w:lang w:val="en-US" w:eastAsia="zh-CN"/>
        </w:rPr>
        <w:t>Orlando, US, November 18th – 22nd, 2024</w:t>
      </w:r>
    </w:p>
    <w:p w14:paraId="5FF296B8" w14:textId="77777777" w:rsidR="00407648" w:rsidRPr="0010052A" w:rsidRDefault="00407648" w:rsidP="0010052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 w:line="288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zh-CN"/>
        </w:rPr>
      </w:pPr>
      <w:bookmarkStart w:id="1" w:name="_GoBack"/>
      <w:bookmarkEnd w:id="1"/>
    </w:p>
    <w:bookmarkEnd w:id="0"/>
    <w:p w14:paraId="37ECD67A" w14:textId="77777777" w:rsidR="00047625" w:rsidRPr="006B3E56" w:rsidRDefault="00047625" w:rsidP="00047625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>
        <w:rPr>
          <w:sz w:val="22"/>
        </w:rPr>
        <w:t>5</w:t>
      </w:r>
    </w:p>
    <w:p w14:paraId="13ECDC31" w14:textId="45FB88F0" w:rsidR="00047625" w:rsidRPr="00CE0424" w:rsidRDefault="00047625" w:rsidP="00047625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rFonts w:cs="Arial"/>
          <w:sz w:val="22"/>
        </w:rPr>
        <w:t>Spreadtrum</w:t>
      </w:r>
      <w:r w:rsidR="00AC3859">
        <w:t>, UNISOC</w:t>
      </w:r>
    </w:p>
    <w:p w14:paraId="00C7FD6D" w14:textId="6D9FD089" w:rsidR="00047625" w:rsidRDefault="00047625" w:rsidP="00047625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AC3859" w:rsidRPr="00AC3859">
        <w:rPr>
          <w:sz w:val="22"/>
        </w:rPr>
        <w:t>Discussion on LS on the scenarios of UE-to-UE CLI measurement report in SBFD operation</w:t>
      </w:r>
    </w:p>
    <w:p w14:paraId="1351E5DD" w14:textId="480F2A2B" w:rsidR="00047625" w:rsidRPr="00C66312" w:rsidRDefault="00047625" w:rsidP="00047625">
      <w:pPr>
        <w:pStyle w:val="3GPPHeader"/>
        <w:ind w:left="1710" w:hanging="1710"/>
        <w:rPr>
          <w:sz w:val="22"/>
        </w:rPr>
      </w:pPr>
      <w:r w:rsidRPr="00C66312">
        <w:rPr>
          <w:sz w:val="22"/>
        </w:rPr>
        <w:t>Work Item:</w:t>
      </w:r>
      <w:r w:rsidRPr="00C66312">
        <w:rPr>
          <w:sz w:val="22"/>
        </w:rPr>
        <w:tab/>
      </w:r>
      <w:r w:rsidR="00AC3859" w:rsidRPr="00AC3859">
        <w:rPr>
          <w:rFonts w:eastAsia="Times New Roman" w:cs="Arial"/>
          <w:bCs/>
          <w:sz w:val="22"/>
          <w:lang w:val="en-GB"/>
        </w:rPr>
        <w:t>NR_duplex_evo-Core</w:t>
      </w:r>
    </w:p>
    <w:p w14:paraId="47EC09A8" w14:textId="77777777" w:rsidR="00047625" w:rsidRPr="00CE0424" w:rsidRDefault="00047625" w:rsidP="00047625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21EBA734" w14:textId="3FBED988" w:rsidR="00805878" w:rsidRPr="00805878" w:rsidRDefault="00805878" w:rsidP="0080587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/>
          <w:sz w:val="36"/>
          <w:lang w:eastAsia="zh-CN"/>
        </w:rPr>
      </w:pPr>
      <w:r w:rsidRPr="00805878">
        <w:rPr>
          <w:rFonts w:ascii="Arial" w:eastAsia="宋体" w:hAnsi="Arial"/>
          <w:sz w:val="36"/>
          <w:lang w:eastAsia="zh-CN"/>
        </w:rPr>
        <w:t>1</w:t>
      </w:r>
      <w:r w:rsidRPr="00805878">
        <w:rPr>
          <w:rFonts w:ascii="Arial" w:eastAsia="宋体" w:hAnsi="Arial"/>
          <w:sz w:val="36"/>
          <w:lang w:eastAsia="zh-CN"/>
        </w:rPr>
        <w:tab/>
      </w:r>
      <w:r w:rsidR="00047625" w:rsidRPr="00047625">
        <w:rPr>
          <w:rFonts w:ascii="Arial" w:eastAsia="宋体" w:hAnsi="Arial"/>
          <w:sz w:val="36"/>
          <w:lang w:eastAsia="zh-CN"/>
        </w:rPr>
        <w:t>Introductio</w:t>
      </w:r>
      <w:r w:rsidR="00047625">
        <w:rPr>
          <w:rFonts w:ascii="Arial" w:eastAsia="宋体" w:hAnsi="Arial"/>
          <w:sz w:val="36"/>
          <w:lang w:eastAsia="zh-CN"/>
        </w:rPr>
        <w:t>n</w:t>
      </w:r>
    </w:p>
    <w:p w14:paraId="05A63C40" w14:textId="7A85717F" w:rsidR="00047625" w:rsidRDefault="00AC3859" w:rsidP="00805878">
      <w:pPr>
        <w:spacing w:after="120" w:line="260" w:lineRule="exact"/>
        <w:jc w:val="both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RAN4 sent an LS to</w:t>
      </w:r>
      <w:r w:rsidR="00047625" w:rsidRPr="00047625">
        <w:rPr>
          <w:rFonts w:eastAsia="宋体"/>
          <w:sz w:val="24"/>
          <w:szCs w:val="24"/>
          <w:lang w:val="en-US" w:eastAsia="zh-CN"/>
        </w:rPr>
        <w:t xml:space="preserve"> RAN1 with the title “</w:t>
      </w:r>
      <w:r w:rsidRPr="00AC3859">
        <w:rPr>
          <w:rFonts w:eastAsia="宋体"/>
          <w:sz w:val="24"/>
          <w:szCs w:val="24"/>
          <w:lang w:val="en-US" w:eastAsia="zh-CN"/>
        </w:rPr>
        <w:t>LS on the scenarios of UE-to-UE CLI measurement report in SBFD operation</w:t>
      </w:r>
      <w:r w:rsidR="00047625" w:rsidRPr="00047625">
        <w:rPr>
          <w:rFonts w:eastAsia="宋体"/>
          <w:sz w:val="24"/>
          <w:szCs w:val="24"/>
          <w:lang w:val="en-US" w:eastAsia="zh-CN"/>
        </w:rPr>
        <w:t>” [1]. An excerpt is shown below:</w:t>
      </w:r>
    </w:p>
    <w:tbl>
      <w:tblPr>
        <w:tblStyle w:val="af2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7625" w:rsidRPr="00243B7B" w14:paraId="6EE3BD47" w14:textId="77777777" w:rsidTr="007D1307">
        <w:tc>
          <w:tcPr>
            <w:tcW w:w="9629" w:type="dxa"/>
          </w:tcPr>
          <w:p w14:paraId="728EBD68" w14:textId="77777777" w:rsidR="00047625" w:rsidRPr="00243B7B" w:rsidRDefault="00047625" w:rsidP="007D1307">
            <w:pPr>
              <w:spacing w:after="120"/>
              <w:rPr>
                <w:rFonts w:cs="Arial"/>
                <w:b/>
              </w:rPr>
            </w:pPr>
            <w:r w:rsidRPr="00243B7B">
              <w:rPr>
                <w:rFonts w:cs="Arial"/>
                <w:b/>
              </w:rPr>
              <w:t>1. Overall Description:</w:t>
            </w:r>
          </w:p>
          <w:p w14:paraId="1865494D" w14:textId="77777777" w:rsidR="00AC3859" w:rsidRDefault="00AC3859" w:rsidP="00AC3859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When RAN4 discussed the requirements for UE-to-UE L1 CLI measurement, e.g., L1 SRS-RSRP, in SBFD operation, it was </w:t>
            </w:r>
            <w:r>
              <w:rPr>
                <w:color w:val="000000"/>
                <w:lang w:val="en-US"/>
              </w:rPr>
              <w:t xml:space="preserve">identified that the time difference between the victim </w:t>
            </w:r>
            <w:r>
              <w:t>UE’s DL reference timing in the serving cell</w:t>
            </w:r>
            <w:r>
              <w:rPr>
                <w:color w:val="000000"/>
                <w:lang w:val="en-US"/>
              </w:rPr>
              <w:t xml:space="preserve"> and aggressor UE’s SRS arrival timing depends on the applicable scenarios:</w:t>
            </w:r>
          </w:p>
          <w:p w14:paraId="00B9C526" w14:textId="77777777" w:rsidR="00AC3859" w:rsidRDefault="00AC3859" w:rsidP="00AC3859">
            <w:pPr>
              <w:pStyle w:val="af7"/>
              <w:numPr>
                <w:ilvl w:val="0"/>
                <w:numId w:val="28"/>
              </w:numPr>
              <w:spacing w:after="0" w:line="240" w:lineRule="auto"/>
              <w:ind w:firstLineChars="0"/>
              <w:rPr>
                <w:rFonts w:eastAsia="Times New Roman"/>
                <w:color w:val="000000"/>
                <w:lang w:eastAsia="en-GB"/>
              </w:rPr>
            </w:pPr>
            <w:r>
              <w:rPr>
                <w:rFonts w:eastAsia="Times New Roman"/>
                <w:color w:val="000000"/>
                <w:lang w:eastAsia="en-GB"/>
              </w:rPr>
              <w:t>Intra-cell UE-to-UE L1 CLI measurement, where both aggressor UE and victim UE belong to the same cell and thus cell phase synchronization error of 3us does not need to be considered</w:t>
            </w:r>
          </w:p>
          <w:p w14:paraId="71CD02CA" w14:textId="77777777" w:rsidR="00AC3859" w:rsidRDefault="00AC3859" w:rsidP="00AC3859">
            <w:pPr>
              <w:pStyle w:val="af7"/>
              <w:numPr>
                <w:ilvl w:val="0"/>
                <w:numId w:val="28"/>
              </w:numPr>
              <w:spacing w:after="0" w:line="240" w:lineRule="auto"/>
              <w:ind w:firstLineChars="0"/>
              <w:rPr>
                <w:rFonts w:eastAsia="Times New Roman"/>
                <w:color w:val="000000"/>
                <w:lang w:eastAsia="en-GB"/>
              </w:rPr>
            </w:pPr>
            <w:r>
              <w:rPr>
                <w:rFonts w:eastAsia="Times New Roman"/>
                <w:color w:val="000000"/>
                <w:lang w:eastAsia="en-GB"/>
              </w:rPr>
              <w:t>Inter-cell UE-to-UE L1 CLI measurement, where aggressor UE and victim UE belong to different cells and thus cell phase synchronization error of 3us needs to be considered</w:t>
            </w:r>
          </w:p>
          <w:p w14:paraId="60F1043B" w14:textId="77777777" w:rsidR="00AC3859" w:rsidRDefault="00AC3859" w:rsidP="00AC3859">
            <w:pPr>
              <w:pStyle w:val="af7"/>
              <w:ind w:firstLine="400"/>
              <w:rPr>
                <w:rFonts w:eastAsia="Times New Roman"/>
                <w:color w:val="000000"/>
                <w:lang w:eastAsia="en-GB"/>
              </w:rPr>
            </w:pPr>
          </w:p>
          <w:p w14:paraId="193C32C3" w14:textId="77777777" w:rsidR="00AC3859" w:rsidRDefault="00AC3859" w:rsidP="00AC3859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To define the appropriate requirements, RAN4 needs to understand from RAN1 perspective if both scenarios are considered or just intra-cell scenario is considered. Any other clarification or info from RAN1 is appreciated too.</w:t>
            </w:r>
          </w:p>
          <w:p w14:paraId="29894FCF" w14:textId="77777777" w:rsidR="00047625" w:rsidRPr="00243B7B" w:rsidRDefault="00047625" w:rsidP="007D1307">
            <w:pPr>
              <w:spacing w:after="0"/>
              <w:rPr>
                <w:rFonts w:cs="Arial"/>
                <w:lang w:eastAsia="zh-CN"/>
              </w:rPr>
            </w:pPr>
          </w:p>
          <w:p w14:paraId="13C78EE5" w14:textId="77777777" w:rsidR="00047625" w:rsidRPr="00243B7B" w:rsidRDefault="00047625" w:rsidP="007D1307">
            <w:pPr>
              <w:spacing w:after="120"/>
              <w:rPr>
                <w:rFonts w:cs="Arial"/>
                <w:b/>
              </w:rPr>
            </w:pPr>
            <w:r w:rsidRPr="00243B7B">
              <w:rPr>
                <w:rFonts w:cs="Arial"/>
                <w:b/>
              </w:rPr>
              <w:t>2. Actions:</w:t>
            </w:r>
          </w:p>
          <w:p w14:paraId="3781323F" w14:textId="77777777" w:rsidR="00AC3859" w:rsidRDefault="00AC3859" w:rsidP="00AC3859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RAN </w:t>
            </w:r>
          </w:p>
          <w:p w14:paraId="44403951" w14:textId="018F8E61" w:rsidR="00047625" w:rsidRPr="00AC3859" w:rsidRDefault="00AC3859" w:rsidP="00AC3859">
            <w:pPr>
              <w:spacing w:after="120"/>
              <w:ind w:left="993" w:hanging="993"/>
              <w:rPr>
                <w:color w:val="000000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  <w:color w:val="0070C0"/>
              </w:rPr>
              <w:tab/>
            </w:r>
            <w:r>
              <w:rPr>
                <w:color w:val="000000"/>
              </w:rPr>
              <w:t>RAN4 respectfully asks RAN1 to provide clarification on the target scenarios for UE-to-UE L1 CLI measurement.</w:t>
            </w:r>
          </w:p>
        </w:tc>
      </w:tr>
    </w:tbl>
    <w:p w14:paraId="797D3FB8" w14:textId="77777777" w:rsidR="00992D8F" w:rsidRPr="00992D8F" w:rsidRDefault="00992D8F" w:rsidP="00992D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/>
          <w:sz w:val="36"/>
          <w:lang w:eastAsia="zh-CN"/>
        </w:rPr>
      </w:pPr>
      <w:bookmarkStart w:id="2" w:name="_Toc101615136"/>
      <w:r w:rsidRPr="00992D8F">
        <w:rPr>
          <w:rFonts w:ascii="Arial" w:eastAsia="宋体" w:hAnsi="Arial"/>
          <w:sz w:val="36"/>
          <w:lang w:eastAsia="zh-CN"/>
        </w:rPr>
        <w:t>2</w:t>
      </w:r>
      <w:r w:rsidRPr="00992D8F">
        <w:rPr>
          <w:rFonts w:ascii="Arial" w:eastAsia="宋体" w:hAnsi="Arial"/>
          <w:sz w:val="36"/>
          <w:lang w:eastAsia="zh-CN"/>
        </w:rPr>
        <w:tab/>
      </w:r>
      <w:bookmarkEnd w:id="2"/>
      <w:r w:rsidRPr="00992D8F">
        <w:rPr>
          <w:rFonts w:ascii="Arial" w:eastAsia="宋体" w:hAnsi="Arial"/>
          <w:sz w:val="36"/>
          <w:lang w:eastAsia="zh-CN"/>
        </w:rPr>
        <w:t>Discussion</w:t>
      </w:r>
    </w:p>
    <w:p w14:paraId="550276CB" w14:textId="4041A490" w:rsidR="00992D8F" w:rsidRPr="00922234" w:rsidRDefault="00922234" w:rsidP="00992D8F">
      <w:pPr>
        <w:jc w:val="both"/>
        <w:rPr>
          <w:rFonts w:eastAsia="Yu Mincho" w:cs="Arial"/>
          <w:sz w:val="24"/>
          <w:szCs w:val="24"/>
          <w:lang w:eastAsia="ja-JP"/>
        </w:rPr>
      </w:pPr>
      <w:r>
        <w:rPr>
          <w:rFonts w:cs="Arial"/>
          <w:sz w:val="24"/>
          <w:szCs w:val="24"/>
          <w:lang w:eastAsia="ja-JP"/>
        </w:rPr>
        <w:t xml:space="preserve">According to the WID of </w:t>
      </w:r>
      <w:r w:rsidRPr="00922234">
        <w:rPr>
          <w:rFonts w:cs="Arial"/>
          <w:sz w:val="24"/>
          <w:szCs w:val="24"/>
          <w:lang w:eastAsia="ja-JP"/>
        </w:rPr>
        <w:t xml:space="preserve">Evolution of NR duplex </w:t>
      </w:r>
      <w:r w:rsidR="000047AB" w:rsidRPr="00922234">
        <w:rPr>
          <w:rFonts w:cs="Arial"/>
          <w:sz w:val="24"/>
          <w:szCs w:val="24"/>
          <w:lang w:eastAsia="ja-JP"/>
        </w:rPr>
        <w:t>operation</w:t>
      </w:r>
      <w:r w:rsidR="000047AB">
        <w:rPr>
          <w:rFonts w:cs="Arial"/>
          <w:sz w:val="24"/>
          <w:szCs w:val="24"/>
          <w:lang w:eastAsia="ja-JP"/>
        </w:rPr>
        <w:t xml:space="preserve"> [</w:t>
      </w:r>
      <w:r>
        <w:rPr>
          <w:rFonts w:cs="Arial"/>
          <w:sz w:val="24"/>
          <w:szCs w:val="24"/>
          <w:lang w:eastAsia="ja-JP"/>
        </w:rPr>
        <w:t>2], the notes of L1 based UE-to-UE CLI measurement and reporting shows that there is no SRS configuration information exchange between gNBs. Therefore, it’s impossible for the victim UE to do inter-cell UE-to-UE L1 CLI measurement without knowing the location of SRS transmitted from aggressor UE belong to different cells. So only intra-cell scenario is considered for UE-to-UE CLI measurement</w:t>
      </w:r>
      <w:r w:rsidR="00E3143D">
        <w:rPr>
          <w:rFonts w:cs="Arial"/>
          <w:sz w:val="24"/>
          <w:szCs w:val="24"/>
          <w:lang w:eastAsia="ja-JP"/>
        </w:rPr>
        <w:t xml:space="preserve"> and</w:t>
      </w:r>
      <w:r>
        <w:rPr>
          <w:rFonts w:cs="Arial"/>
          <w:sz w:val="24"/>
          <w:szCs w:val="24"/>
          <w:lang w:eastAsia="ja-JP"/>
        </w:rPr>
        <w:t xml:space="preserve"> reporting in SBFD operation.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2D8F" w14:paraId="66180585" w14:textId="77777777" w:rsidTr="00992D8F">
        <w:tc>
          <w:tcPr>
            <w:tcW w:w="9629" w:type="dxa"/>
          </w:tcPr>
          <w:p w14:paraId="680EF4FA" w14:textId="77777777" w:rsidR="00922234" w:rsidRDefault="00922234" w:rsidP="00922234">
            <w:pPr>
              <w:numPr>
                <w:ilvl w:val="0"/>
                <w:numId w:val="8"/>
              </w:numPr>
              <w:tabs>
                <w:tab w:val="left" w:pos="1440"/>
              </w:tabs>
              <w:spacing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Notes: Following</w:t>
            </w:r>
            <w:r w:rsidRPr="002F6822">
              <w:rPr>
                <w:rFonts w:eastAsia="Malgun Gothic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are assumed for </w:t>
            </w:r>
            <w:r w:rsidRPr="002F6822">
              <w:rPr>
                <w:rFonts w:eastAsia="Malgun Gothic"/>
                <w:lang w:val="en-US" w:eastAsia="ko-KR"/>
              </w:rPr>
              <w:t>L1 based UE-to-UE CLI measurement and reporting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</w:p>
          <w:p w14:paraId="20D9104F" w14:textId="77777777" w:rsidR="00922234" w:rsidRDefault="00922234" w:rsidP="00922234">
            <w:pPr>
              <w:numPr>
                <w:ilvl w:val="1"/>
                <w:numId w:val="8"/>
              </w:numPr>
              <w:tabs>
                <w:tab w:val="left" w:pos="2160"/>
              </w:tabs>
              <w:spacing w:line="256" w:lineRule="auto"/>
              <w:ind w:right="-99"/>
              <w:rPr>
                <w:rFonts w:eastAsia="Malgun Gothic"/>
                <w:lang w:val="en-US" w:eastAsia="ko-KR"/>
              </w:rPr>
            </w:pPr>
            <w:r w:rsidRPr="00FE6F01">
              <w:rPr>
                <w:rFonts w:eastAsia="Malgun Gothic"/>
                <w:lang w:val="en-US" w:eastAsia="ko-KR"/>
              </w:rPr>
              <w:t>The measurement resources for SRS-RSRP are based on the existing legacy RS patterns. No specification impact for SRS configuration information exchange between gNBs</w:t>
            </w:r>
          </w:p>
          <w:p w14:paraId="42537958" w14:textId="77777777" w:rsidR="00922234" w:rsidRPr="002F6822" w:rsidRDefault="00922234" w:rsidP="00922234">
            <w:pPr>
              <w:numPr>
                <w:ilvl w:val="1"/>
                <w:numId w:val="8"/>
              </w:numPr>
              <w:spacing w:line="256" w:lineRule="auto"/>
              <w:ind w:right="-99"/>
              <w:rPr>
                <w:rFonts w:eastAsia="Malgun Gothic"/>
                <w:lang w:val="en-US" w:eastAsia="ko-KR"/>
              </w:rPr>
            </w:pPr>
            <w:r w:rsidRPr="002F6822">
              <w:rPr>
                <w:rFonts w:eastAsia="Malgun Gothic"/>
                <w:lang w:val="en-US" w:eastAsia="ko-KR"/>
              </w:rPr>
              <w:t>Periodic and semi-persistent reporting can be considered</w:t>
            </w:r>
            <w:r>
              <w:rPr>
                <w:rFonts w:eastAsia="Malgun Gothic"/>
                <w:lang w:val="en-US" w:eastAsia="ko-KR"/>
              </w:rPr>
              <w:t xml:space="preserve"> in addition to a</w:t>
            </w:r>
            <w:r w:rsidRPr="00B6523C">
              <w:rPr>
                <w:rFonts w:eastAsia="Malgun Gothic"/>
                <w:lang w:val="en-US" w:eastAsia="ko-KR"/>
              </w:rPr>
              <w:t>periodic reporting</w:t>
            </w:r>
          </w:p>
          <w:p w14:paraId="17630C39" w14:textId="77777777" w:rsidR="00922234" w:rsidRPr="002F6822" w:rsidRDefault="00922234" w:rsidP="00922234">
            <w:pPr>
              <w:numPr>
                <w:ilvl w:val="1"/>
                <w:numId w:val="8"/>
              </w:numPr>
              <w:spacing w:line="256" w:lineRule="auto"/>
              <w:ind w:right="-99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For the new reporting quantities, a</w:t>
            </w:r>
            <w:r w:rsidRPr="002F6822">
              <w:rPr>
                <w:rFonts w:eastAsia="Malgun Gothic"/>
                <w:lang w:val="en-US" w:eastAsia="ko-KR"/>
              </w:rPr>
              <w:t>t least wideband reporting is supported</w:t>
            </w:r>
          </w:p>
          <w:p w14:paraId="5D1768B0" w14:textId="000D0976" w:rsidR="00992D8F" w:rsidRPr="00922234" w:rsidRDefault="00922234" w:rsidP="00922234">
            <w:pPr>
              <w:numPr>
                <w:ilvl w:val="1"/>
                <w:numId w:val="8"/>
              </w:numPr>
              <w:tabs>
                <w:tab w:val="left" w:pos="720"/>
              </w:tabs>
              <w:spacing w:line="256" w:lineRule="auto"/>
              <w:ind w:right="-99"/>
              <w:rPr>
                <w:rFonts w:eastAsia="Malgun Gothic"/>
                <w:lang w:val="en-US" w:eastAsia="ko-KR"/>
              </w:rPr>
            </w:pPr>
            <w:r w:rsidRPr="002F6822">
              <w:rPr>
                <w:rFonts w:eastAsia="Malgun Gothic"/>
                <w:lang w:val="en-US"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0A49C88F" w14:textId="33EE456D" w:rsidR="00245786" w:rsidRPr="00245786" w:rsidRDefault="00245786" w:rsidP="000047AB">
      <w:pPr>
        <w:spacing w:before="120"/>
        <w:jc w:val="both"/>
        <w:rPr>
          <w:rFonts w:eastAsia="Malgun Gothic"/>
          <w:b/>
          <w:i/>
          <w:sz w:val="24"/>
          <w:szCs w:val="24"/>
        </w:rPr>
      </w:pPr>
      <w:bookmarkStart w:id="3" w:name="_Toc174118563"/>
      <w:r>
        <w:rPr>
          <w:rFonts w:eastAsia="Malgun Gothic"/>
          <w:b/>
          <w:i/>
          <w:sz w:val="24"/>
          <w:szCs w:val="24"/>
        </w:rPr>
        <w:lastRenderedPageBreak/>
        <w:t>Proposal 1</w:t>
      </w:r>
      <w:r w:rsidR="00922234">
        <w:rPr>
          <w:rFonts w:eastAsia="Malgun Gothic"/>
          <w:b/>
          <w:i/>
          <w:sz w:val="24"/>
          <w:szCs w:val="24"/>
        </w:rPr>
        <w:t xml:space="preserve">: </w:t>
      </w:r>
      <w:r w:rsidR="00E3143D">
        <w:rPr>
          <w:rFonts w:eastAsia="Malgun Gothic"/>
          <w:b/>
          <w:i/>
          <w:sz w:val="24"/>
          <w:szCs w:val="24"/>
        </w:rPr>
        <w:t>O</w:t>
      </w:r>
      <w:r w:rsidR="00E3143D" w:rsidRPr="00E3143D">
        <w:rPr>
          <w:rFonts w:eastAsia="Malgun Gothic"/>
          <w:b/>
          <w:i/>
          <w:sz w:val="24"/>
          <w:szCs w:val="24"/>
        </w:rPr>
        <w:t xml:space="preserve">nly intra-cell scenario is considered for UE-to-UE </w:t>
      </w:r>
      <w:r w:rsidR="00E3143D">
        <w:rPr>
          <w:rFonts w:eastAsia="Malgun Gothic"/>
          <w:b/>
          <w:i/>
          <w:sz w:val="24"/>
          <w:szCs w:val="24"/>
        </w:rPr>
        <w:t xml:space="preserve">L1 </w:t>
      </w:r>
      <w:r w:rsidR="00E3143D" w:rsidRPr="00E3143D">
        <w:rPr>
          <w:rFonts w:eastAsia="Malgun Gothic"/>
          <w:b/>
          <w:i/>
          <w:sz w:val="24"/>
          <w:szCs w:val="24"/>
        </w:rPr>
        <w:t xml:space="preserve">CLI measurement </w:t>
      </w:r>
      <w:r w:rsidR="00E3143D">
        <w:rPr>
          <w:rFonts w:eastAsia="Malgun Gothic"/>
          <w:b/>
          <w:i/>
          <w:sz w:val="24"/>
          <w:szCs w:val="24"/>
        </w:rPr>
        <w:t xml:space="preserve">and </w:t>
      </w:r>
      <w:r w:rsidR="00E3143D" w:rsidRPr="00E3143D">
        <w:rPr>
          <w:rFonts w:eastAsia="Malgun Gothic"/>
          <w:b/>
          <w:i/>
          <w:sz w:val="24"/>
          <w:szCs w:val="24"/>
        </w:rPr>
        <w:t>reporting in SBFD operation.</w:t>
      </w:r>
    </w:p>
    <w:p w14:paraId="580A7CD1" w14:textId="77777777" w:rsidR="00C142A9" w:rsidRPr="00C142A9" w:rsidRDefault="00C142A9" w:rsidP="00C142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4" w:name="_Toc101615138"/>
      <w:bookmarkEnd w:id="3"/>
      <w:r w:rsidRPr="00C142A9">
        <w:rPr>
          <w:rFonts w:ascii="Arial" w:eastAsia="宋体" w:hAnsi="Arial"/>
          <w:sz w:val="36"/>
          <w:lang w:eastAsia="ja-JP"/>
        </w:rPr>
        <w:t>3</w:t>
      </w:r>
      <w:r w:rsidRPr="00C142A9">
        <w:rPr>
          <w:rFonts w:ascii="Arial" w:eastAsia="宋体" w:hAnsi="Arial"/>
          <w:sz w:val="36"/>
          <w:lang w:eastAsia="ja-JP"/>
        </w:rPr>
        <w:tab/>
        <w:t>Conclusion</w:t>
      </w:r>
      <w:bookmarkEnd w:id="4"/>
    </w:p>
    <w:p w14:paraId="2563391E" w14:textId="77777777" w:rsidR="00C142A9" w:rsidRPr="00C142A9" w:rsidRDefault="00C142A9" w:rsidP="00C142A9">
      <w:pPr>
        <w:spacing w:after="120"/>
        <w:jc w:val="both"/>
        <w:rPr>
          <w:rFonts w:eastAsia="Calibri"/>
          <w:sz w:val="22"/>
          <w:szCs w:val="22"/>
          <w:lang w:eastAsia="ja-JP"/>
        </w:rPr>
      </w:pPr>
      <w:r w:rsidRPr="00C142A9">
        <w:rPr>
          <w:rFonts w:eastAsia="Calibri"/>
          <w:sz w:val="22"/>
          <w:szCs w:val="22"/>
          <w:lang w:eastAsia="ja-JP"/>
        </w:rPr>
        <w:t>Based on the discussion we propose the following:</w:t>
      </w:r>
    </w:p>
    <w:p w14:paraId="76981613" w14:textId="319BE3AE" w:rsidR="00C142A9" w:rsidRPr="00751A0D" w:rsidRDefault="00751A0D" w:rsidP="000047AB">
      <w:pPr>
        <w:spacing w:before="120"/>
        <w:jc w:val="both"/>
        <w:rPr>
          <w:rFonts w:eastAsia="Malgun Gothic"/>
          <w:b/>
          <w:i/>
          <w:sz w:val="24"/>
          <w:szCs w:val="24"/>
        </w:rPr>
      </w:pPr>
      <w:r>
        <w:rPr>
          <w:rFonts w:eastAsia="Malgun Gothic"/>
          <w:b/>
          <w:i/>
          <w:sz w:val="24"/>
          <w:szCs w:val="24"/>
        </w:rPr>
        <w:t>Proposal 1: O</w:t>
      </w:r>
      <w:r w:rsidRPr="00E3143D">
        <w:rPr>
          <w:rFonts w:eastAsia="Malgun Gothic"/>
          <w:b/>
          <w:i/>
          <w:sz w:val="24"/>
          <w:szCs w:val="24"/>
        </w:rPr>
        <w:t xml:space="preserve">nly intra-cell scenario is considered for UE-to-UE </w:t>
      </w:r>
      <w:r>
        <w:rPr>
          <w:rFonts w:eastAsia="Malgun Gothic"/>
          <w:b/>
          <w:i/>
          <w:sz w:val="24"/>
          <w:szCs w:val="24"/>
        </w:rPr>
        <w:t xml:space="preserve">L1 </w:t>
      </w:r>
      <w:r w:rsidRPr="00E3143D">
        <w:rPr>
          <w:rFonts w:eastAsia="Malgun Gothic"/>
          <w:b/>
          <w:i/>
          <w:sz w:val="24"/>
          <w:szCs w:val="24"/>
        </w:rPr>
        <w:t xml:space="preserve">CLI measurement </w:t>
      </w:r>
      <w:r>
        <w:rPr>
          <w:rFonts w:eastAsia="Malgun Gothic"/>
          <w:b/>
          <w:i/>
          <w:sz w:val="24"/>
          <w:szCs w:val="24"/>
        </w:rPr>
        <w:t xml:space="preserve">and </w:t>
      </w:r>
      <w:r w:rsidRPr="00E3143D">
        <w:rPr>
          <w:rFonts w:eastAsia="Malgun Gothic"/>
          <w:b/>
          <w:i/>
          <w:sz w:val="24"/>
          <w:szCs w:val="24"/>
        </w:rPr>
        <w:t>reporting in SBFD operation.</w:t>
      </w:r>
      <w:r w:rsidR="00C142A9" w:rsidRPr="00751A0D">
        <w:rPr>
          <w:rFonts w:ascii="Arial" w:eastAsia="Calibri" w:hAnsi="Arial" w:cs="Arial"/>
          <w:bCs/>
          <w:szCs w:val="22"/>
          <w:lang w:val="en-US" w:eastAsia="zh-CN"/>
        </w:rPr>
        <w:fldChar w:fldCharType="begin"/>
      </w:r>
      <w:r w:rsidR="00C142A9" w:rsidRPr="00751A0D">
        <w:rPr>
          <w:rFonts w:ascii="Arial" w:eastAsia="Calibri" w:hAnsi="Arial" w:cs="Arial"/>
          <w:b/>
          <w:bCs/>
          <w:szCs w:val="22"/>
          <w:lang w:val="en-US" w:eastAsia="zh-CN"/>
        </w:rPr>
        <w:instrText xml:space="preserve"> TOC \n \h \z \t "Proposal" \c </w:instrText>
      </w:r>
      <w:r w:rsidR="00C142A9" w:rsidRPr="00751A0D">
        <w:rPr>
          <w:rFonts w:ascii="Arial" w:eastAsia="Calibri" w:hAnsi="Arial" w:cs="Arial"/>
          <w:bCs/>
          <w:szCs w:val="22"/>
          <w:lang w:val="en-US" w:eastAsia="zh-CN"/>
        </w:rPr>
        <w:fldChar w:fldCharType="end"/>
      </w:r>
    </w:p>
    <w:p w14:paraId="4393D65B" w14:textId="77777777" w:rsidR="00C142A9" w:rsidRPr="00C142A9" w:rsidRDefault="00C142A9" w:rsidP="00C142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5" w:name="_In-sequence_SDU_delivery"/>
      <w:bookmarkStart w:id="6" w:name="_Toc101615139"/>
      <w:bookmarkEnd w:id="5"/>
      <w:r w:rsidRPr="00C142A9">
        <w:rPr>
          <w:rFonts w:ascii="Arial" w:eastAsia="宋体" w:hAnsi="Arial"/>
          <w:sz w:val="36"/>
          <w:lang w:eastAsia="ja-JP"/>
        </w:rPr>
        <w:t>References</w:t>
      </w:r>
      <w:bookmarkEnd w:id="6"/>
    </w:p>
    <w:p w14:paraId="7B2EEA4E" w14:textId="64FF82B8" w:rsidR="00C142A9" w:rsidRPr="00C74470" w:rsidRDefault="009175EC" w:rsidP="00AC3859">
      <w:pPr>
        <w:pStyle w:val="Reference"/>
      </w:pPr>
      <w:bookmarkStart w:id="7" w:name="_Ref100327277"/>
      <w:bookmarkStart w:id="8" w:name="_Ref60753713"/>
      <w:bookmarkStart w:id="9" w:name="_Hlk75780486"/>
      <w:r w:rsidRPr="00751A0D">
        <w:t>R1-240</w:t>
      </w:r>
      <w:r w:rsidR="00AC3859" w:rsidRPr="00751A0D">
        <w:t>9352</w:t>
      </w:r>
      <w:r w:rsidR="00C142A9" w:rsidRPr="00751A0D">
        <w:t>,</w:t>
      </w:r>
      <w:r w:rsidR="00C142A9" w:rsidRPr="00C74470">
        <w:t xml:space="preserve"> </w:t>
      </w:r>
      <w:r w:rsidR="00C142A9" w:rsidRPr="00751A0D">
        <w:t>“</w:t>
      </w:r>
      <w:r w:rsidR="00AC3859" w:rsidRPr="00751A0D">
        <w:t>LS on the scenarios of UE-to-UE CLI measurement report in SBFD operation</w:t>
      </w:r>
      <w:r w:rsidR="00C142A9" w:rsidRPr="00751A0D">
        <w:t>”, RAN</w:t>
      </w:r>
      <w:r w:rsidRPr="00751A0D">
        <w:t>1</w:t>
      </w:r>
      <w:r w:rsidR="00C142A9" w:rsidRPr="00751A0D">
        <w:t>#1</w:t>
      </w:r>
      <w:r w:rsidRPr="00751A0D">
        <w:t>1</w:t>
      </w:r>
      <w:r w:rsidR="00AC3859" w:rsidRPr="00751A0D">
        <w:t>9</w:t>
      </w:r>
      <w:r w:rsidR="00C142A9" w:rsidRPr="00751A0D">
        <w:t xml:space="preserve">, </w:t>
      </w:r>
      <w:bookmarkEnd w:id="7"/>
      <w:bookmarkEnd w:id="8"/>
      <w:bookmarkEnd w:id="9"/>
      <w:r w:rsidR="00AC3859" w:rsidRPr="00751A0D">
        <w:t>Orlando, US, November 18th – 22nd, 2024</w:t>
      </w:r>
    </w:p>
    <w:p w14:paraId="3AF80809" w14:textId="0C111279" w:rsidR="0025674D" w:rsidRPr="00E16153" w:rsidRDefault="00751A0D" w:rsidP="00751A0D">
      <w:pPr>
        <w:pStyle w:val="Reference"/>
      </w:pPr>
      <w:r>
        <w:t>RP-241614, “</w:t>
      </w:r>
      <w:r w:rsidRPr="00751A0D">
        <w:t>Revised WID: Evolution of NR duplex operation: Sub-band full duplex (SBFD)</w:t>
      </w:r>
      <w:r>
        <w:t>”</w:t>
      </w:r>
      <w:r w:rsidR="007C3464" w:rsidRPr="007C3464">
        <w:rPr>
          <w:rFonts w:hint="eastAsia"/>
        </w:rPr>
        <w:t>,</w:t>
      </w:r>
      <w:r w:rsidR="007C3464" w:rsidRPr="007C3464">
        <w:t xml:space="preserve"> RAN#104, Shanghai, China, June 17th-20th, 2024</w:t>
      </w:r>
    </w:p>
    <w:p w14:paraId="3418078A" w14:textId="74815D77" w:rsidR="006A7B1F" w:rsidRDefault="006A7B1F" w:rsidP="00805878">
      <w:pPr>
        <w:spacing w:after="120"/>
        <w:rPr>
          <w:rFonts w:ascii="Arial" w:hAnsi="Arial" w:cs="Arial"/>
          <w:bCs/>
        </w:rPr>
      </w:pPr>
    </w:p>
    <w:sectPr w:rsidR="006A7B1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7ECDE" w14:textId="77777777" w:rsidR="001C009B" w:rsidRDefault="001C009B">
      <w:pPr>
        <w:spacing w:line="240" w:lineRule="auto"/>
      </w:pPr>
      <w:r>
        <w:separator/>
      </w:r>
    </w:p>
  </w:endnote>
  <w:endnote w:type="continuationSeparator" w:id="0">
    <w:p w14:paraId="55A27EB6" w14:textId="77777777" w:rsidR="001C009B" w:rsidRDefault="001C0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9F5E3" w14:textId="77777777" w:rsidR="001C009B" w:rsidRDefault="001C009B">
      <w:pPr>
        <w:spacing w:after="0"/>
      </w:pPr>
      <w:r>
        <w:separator/>
      </w:r>
    </w:p>
  </w:footnote>
  <w:footnote w:type="continuationSeparator" w:id="0">
    <w:p w14:paraId="2BE54E69" w14:textId="77777777" w:rsidR="001C009B" w:rsidRDefault="001C00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7C5C"/>
    <w:multiLevelType w:val="hybridMultilevel"/>
    <w:tmpl w:val="490A65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D7CAE"/>
    <w:multiLevelType w:val="hybridMultilevel"/>
    <w:tmpl w:val="CDD630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EA4BF4"/>
    <w:multiLevelType w:val="hybridMultilevel"/>
    <w:tmpl w:val="4A0E80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4864E4"/>
    <w:multiLevelType w:val="hybridMultilevel"/>
    <w:tmpl w:val="7C9CEA1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7F1581"/>
    <w:multiLevelType w:val="hybridMultilevel"/>
    <w:tmpl w:val="BC34D064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4E7A2D"/>
    <w:multiLevelType w:val="hybridMultilevel"/>
    <w:tmpl w:val="AA1A1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851BDA"/>
    <w:multiLevelType w:val="hybridMultilevel"/>
    <w:tmpl w:val="45B81A2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C4969"/>
    <w:multiLevelType w:val="hybridMultilevel"/>
    <w:tmpl w:val="BF12C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2846D0"/>
    <w:multiLevelType w:val="hybridMultilevel"/>
    <w:tmpl w:val="677804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9142AC"/>
    <w:multiLevelType w:val="hybridMultilevel"/>
    <w:tmpl w:val="07CA12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666096"/>
    <w:multiLevelType w:val="hybridMultilevel"/>
    <w:tmpl w:val="3C6097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EB1B83"/>
    <w:multiLevelType w:val="hybridMultilevel"/>
    <w:tmpl w:val="3564B3D8"/>
    <w:lvl w:ilvl="0" w:tplc="8A7E6764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DF0D4A"/>
    <w:multiLevelType w:val="hybridMultilevel"/>
    <w:tmpl w:val="EB4C6748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9"/>
  </w:num>
  <w:num w:numId="4">
    <w:abstractNumId w:val="4"/>
  </w:num>
  <w:num w:numId="5">
    <w:abstractNumId w:val="8"/>
  </w:num>
  <w:num w:numId="6">
    <w:abstractNumId w:val="24"/>
  </w:num>
  <w:num w:numId="7">
    <w:abstractNumId w:val="6"/>
  </w:num>
  <w:num w:numId="8">
    <w:abstractNumId w:val="28"/>
  </w:num>
  <w:num w:numId="9">
    <w:abstractNumId w:val="11"/>
  </w:num>
  <w:num w:numId="10">
    <w:abstractNumId w:val="17"/>
  </w:num>
  <w:num w:numId="11">
    <w:abstractNumId w:val="16"/>
  </w:num>
  <w:num w:numId="12">
    <w:abstractNumId w:val="14"/>
  </w:num>
  <w:num w:numId="13">
    <w:abstractNumId w:val="15"/>
  </w:num>
  <w:num w:numId="14">
    <w:abstractNumId w:val="26"/>
  </w:num>
  <w:num w:numId="15">
    <w:abstractNumId w:val="25"/>
  </w:num>
  <w:num w:numId="16">
    <w:abstractNumId w:val="10"/>
  </w:num>
  <w:num w:numId="17">
    <w:abstractNumId w:val="1"/>
  </w:num>
  <w:num w:numId="18">
    <w:abstractNumId w:val="27"/>
  </w:num>
  <w:num w:numId="19">
    <w:abstractNumId w:val="0"/>
  </w:num>
  <w:num w:numId="20">
    <w:abstractNumId w:val="13"/>
  </w:num>
  <w:num w:numId="21">
    <w:abstractNumId w:val="3"/>
  </w:num>
  <w:num w:numId="22">
    <w:abstractNumId w:val="9"/>
  </w:num>
  <w:num w:numId="23">
    <w:abstractNumId w:val="21"/>
  </w:num>
  <w:num w:numId="24">
    <w:abstractNumId w:val="20"/>
  </w:num>
  <w:num w:numId="25">
    <w:abstractNumId w:val="2"/>
  </w:num>
  <w:num w:numId="26">
    <w:abstractNumId w:val="7"/>
  </w:num>
  <w:num w:numId="27">
    <w:abstractNumId w:val="23"/>
  </w:num>
  <w:num w:numId="28">
    <w:abstractNumId w:val="18"/>
  </w:num>
  <w:num w:numId="29">
    <w:abstractNumId w:val="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A2FE0D56"/>
    <w:rsid w:val="F3EF119C"/>
    <w:rsid w:val="0000088E"/>
    <w:rsid w:val="00004432"/>
    <w:rsid w:val="000047AB"/>
    <w:rsid w:val="00012B33"/>
    <w:rsid w:val="000138DC"/>
    <w:rsid w:val="00014C7A"/>
    <w:rsid w:val="000151E4"/>
    <w:rsid w:val="000160C2"/>
    <w:rsid w:val="00016999"/>
    <w:rsid w:val="000169D2"/>
    <w:rsid w:val="00017404"/>
    <w:rsid w:val="00025417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24DF"/>
    <w:rsid w:val="0004322F"/>
    <w:rsid w:val="00043E40"/>
    <w:rsid w:val="00044E1D"/>
    <w:rsid w:val="00047625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0CC9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5CB6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0F7ECD"/>
    <w:rsid w:val="0010052A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1FD5"/>
    <w:rsid w:val="00152D5A"/>
    <w:rsid w:val="001608BF"/>
    <w:rsid w:val="0016152B"/>
    <w:rsid w:val="001640FE"/>
    <w:rsid w:val="001643E0"/>
    <w:rsid w:val="0016545A"/>
    <w:rsid w:val="0016596E"/>
    <w:rsid w:val="001718EB"/>
    <w:rsid w:val="001723A4"/>
    <w:rsid w:val="001734EB"/>
    <w:rsid w:val="00176462"/>
    <w:rsid w:val="001816D6"/>
    <w:rsid w:val="001840B1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9B"/>
    <w:rsid w:val="001C00D0"/>
    <w:rsid w:val="001C0C15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22D05"/>
    <w:rsid w:val="002259B1"/>
    <w:rsid w:val="00232406"/>
    <w:rsid w:val="002343F5"/>
    <w:rsid w:val="00234483"/>
    <w:rsid w:val="00236DC3"/>
    <w:rsid w:val="00237748"/>
    <w:rsid w:val="00241CEC"/>
    <w:rsid w:val="00241DF9"/>
    <w:rsid w:val="00245786"/>
    <w:rsid w:val="0024645A"/>
    <w:rsid w:val="00253A9F"/>
    <w:rsid w:val="0025674D"/>
    <w:rsid w:val="00260EA7"/>
    <w:rsid w:val="00261CB6"/>
    <w:rsid w:val="00262A46"/>
    <w:rsid w:val="00262C5A"/>
    <w:rsid w:val="002632B5"/>
    <w:rsid w:val="00264791"/>
    <w:rsid w:val="00270250"/>
    <w:rsid w:val="00270B6A"/>
    <w:rsid w:val="00283432"/>
    <w:rsid w:val="00286133"/>
    <w:rsid w:val="00291484"/>
    <w:rsid w:val="00291E4A"/>
    <w:rsid w:val="0029611C"/>
    <w:rsid w:val="0029737A"/>
    <w:rsid w:val="0029745A"/>
    <w:rsid w:val="002A5178"/>
    <w:rsid w:val="002A73BC"/>
    <w:rsid w:val="002B120B"/>
    <w:rsid w:val="002B223A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40E9"/>
    <w:rsid w:val="002D5E86"/>
    <w:rsid w:val="002D793F"/>
    <w:rsid w:val="002E2A82"/>
    <w:rsid w:val="002E4DDA"/>
    <w:rsid w:val="002E6515"/>
    <w:rsid w:val="002F360E"/>
    <w:rsid w:val="002F6595"/>
    <w:rsid w:val="002F7689"/>
    <w:rsid w:val="00302A54"/>
    <w:rsid w:val="00303649"/>
    <w:rsid w:val="00305CE6"/>
    <w:rsid w:val="0030626B"/>
    <w:rsid w:val="00306FB1"/>
    <w:rsid w:val="0031137A"/>
    <w:rsid w:val="0031146E"/>
    <w:rsid w:val="00315F49"/>
    <w:rsid w:val="003200D5"/>
    <w:rsid w:val="0032123F"/>
    <w:rsid w:val="0032587C"/>
    <w:rsid w:val="00326B06"/>
    <w:rsid w:val="003308D6"/>
    <w:rsid w:val="003314AF"/>
    <w:rsid w:val="0033354B"/>
    <w:rsid w:val="003371E6"/>
    <w:rsid w:val="0034680B"/>
    <w:rsid w:val="00347947"/>
    <w:rsid w:val="00350290"/>
    <w:rsid w:val="00353380"/>
    <w:rsid w:val="003547F5"/>
    <w:rsid w:val="00355E93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1610"/>
    <w:rsid w:val="003A3A70"/>
    <w:rsid w:val="003A4A3B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E62F8"/>
    <w:rsid w:val="003F085E"/>
    <w:rsid w:val="003F64C0"/>
    <w:rsid w:val="00401229"/>
    <w:rsid w:val="00404E16"/>
    <w:rsid w:val="00407648"/>
    <w:rsid w:val="00411FC7"/>
    <w:rsid w:val="004122F6"/>
    <w:rsid w:val="0041592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5FF9"/>
    <w:rsid w:val="00446B27"/>
    <w:rsid w:val="00447FFA"/>
    <w:rsid w:val="0045077A"/>
    <w:rsid w:val="00452623"/>
    <w:rsid w:val="0045519C"/>
    <w:rsid w:val="00457DB1"/>
    <w:rsid w:val="00463675"/>
    <w:rsid w:val="00471869"/>
    <w:rsid w:val="00471E9C"/>
    <w:rsid w:val="00472A8F"/>
    <w:rsid w:val="00472B1F"/>
    <w:rsid w:val="004746B3"/>
    <w:rsid w:val="00475107"/>
    <w:rsid w:val="004815A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B6BA2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54B"/>
    <w:rsid w:val="004E5EF7"/>
    <w:rsid w:val="004F1306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4666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97C46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5F4E33"/>
    <w:rsid w:val="00600CA3"/>
    <w:rsid w:val="00602BE2"/>
    <w:rsid w:val="00604DA4"/>
    <w:rsid w:val="006074B1"/>
    <w:rsid w:val="00612D9D"/>
    <w:rsid w:val="00612E15"/>
    <w:rsid w:val="006139AB"/>
    <w:rsid w:val="00614819"/>
    <w:rsid w:val="00634D95"/>
    <w:rsid w:val="00643B8E"/>
    <w:rsid w:val="006444E3"/>
    <w:rsid w:val="00646C32"/>
    <w:rsid w:val="0065728B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3075"/>
    <w:rsid w:val="006A4F96"/>
    <w:rsid w:val="006A68BF"/>
    <w:rsid w:val="006A6ED1"/>
    <w:rsid w:val="006A7B1F"/>
    <w:rsid w:val="006B0890"/>
    <w:rsid w:val="006B532E"/>
    <w:rsid w:val="006C3055"/>
    <w:rsid w:val="006C5DA1"/>
    <w:rsid w:val="006C69C7"/>
    <w:rsid w:val="006D0068"/>
    <w:rsid w:val="006D0B09"/>
    <w:rsid w:val="006D367C"/>
    <w:rsid w:val="006D372B"/>
    <w:rsid w:val="006D5DD7"/>
    <w:rsid w:val="006D6FF2"/>
    <w:rsid w:val="006E078F"/>
    <w:rsid w:val="006E17C7"/>
    <w:rsid w:val="006E4E0E"/>
    <w:rsid w:val="006E50F6"/>
    <w:rsid w:val="006E62ED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1A0D"/>
    <w:rsid w:val="00752997"/>
    <w:rsid w:val="00754445"/>
    <w:rsid w:val="0075643D"/>
    <w:rsid w:val="0075685C"/>
    <w:rsid w:val="0075789C"/>
    <w:rsid w:val="00764568"/>
    <w:rsid w:val="00765C64"/>
    <w:rsid w:val="0076758C"/>
    <w:rsid w:val="007712B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C3464"/>
    <w:rsid w:val="007C7EFE"/>
    <w:rsid w:val="007D33B3"/>
    <w:rsid w:val="007D47B6"/>
    <w:rsid w:val="007D4F6D"/>
    <w:rsid w:val="007E39D3"/>
    <w:rsid w:val="007E69F7"/>
    <w:rsid w:val="007F2419"/>
    <w:rsid w:val="008052E2"/>
    <w:rsid w:val="008053A5"/>
    <w:rsid w:val="00805878"/>
    <w:rsid w:val="00806305"/>
    <w:rsid w:val="00815020"/>
    <w:rsid w:val="008163B8"/>
    <w:rsid w:val="008169FD"/>
    <w:rsid w:val="008176B4"/>
    <w:rsid w:val="00832766"/>
    <w:rsid w:val="008333C3"/>
    <w:rsid w:val="00835648"/>
    <w:rsid w:val="00837EF9"/>
    <w:rsid w:val="00851AD8"/>
    <w:rsid w:val="00854399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1AC2"/>
    <w:rsid w:val="0089256C"/>
    <w:rsid w:val="008946F3"/>
    <w:rsid w:val="0089666F"/>
    <w:rsid w:val="008A763F"/>
    <w:rsid w:val="008B4819"/>
    <w:rsid w:val="008B597B"/>
    <w:rsid w:val="008B5D91"/>
    <w:rsid w:val="008B6178"/>
    <w:rsid w:val="008B700A"/>
    <w:rsid w:val="008B7E0D"/>
    <w:rsid w:val="008C1B74"/>
    <w:rsid w:val="008C21AE"/>
    <w:rsid w:val="008C3AD1"/>
    <w:rsid w:val="008C47BA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175EC"/>
    <w:rsid w:val="00922234"/>
    <w:rsid w:val="009233AF"/>
    <w:rsid w:val="00923E7C"/>
    <w:rsid w:val="00931F53"/>
    <w:rsid w:val="00933F87"/>
    <w:rsid w:val="0093498B"/>
    <w:rsid w:val="00935A8C"/>
    <w:rsid w:val="009409E9"/>
    <w:rsid w:val="00940E3A"/>
    <w:rsid w:val="009433EE"/>
    <w:rsid w:val="00944352"/>
    <w:rsid w:val="00944F7F"/>
    <w:rsid w:val="009507EF"/>
    <w:rsid w:val="00950FED"/>
    <w:rsid w:val="009510B9"/>
    <w:rsid w:val="00954237"/>
    <w:rsid w:val="0096404A"/>
    <w:rsid w:val="00964755"/>
    <w:rsid w:val="00966246"/>
    <w:rsid w:val="0097434E"/>
    <w:rsid w:val="00974377"/>
    <w:rsid w:val="009754C4"/>
    <w:rsid w:val="00975B5F"/>
    <w:rsid w:val="00982B4C"/>
    <w:rsid w:val="00991727"/>
    <w:rsid w:val="00992D8F"/>
    <w:rsid w:val="009936CF"/>
    <w:rsid w:val="00994446"/>
    <w:rsid w:val="0099459F"/>
    <w:rsid w:val="00996391"/>
    <w:rsid w:val="009A18AB"/>
    <w:rsid w:val="009A2106"/>
    <w:rsid w:val="009A3A1C"/>
    <w:rsid w:val="009A4454"/>
    <w:rsid w:val="009A79EF"/>
    <w:rsid w:val="009A7A54"/>
    <w:rsid w:val="009B391B"/>
    <w:rsid w:val="009B3F18"/>
    <w:rsid w:val="009B74FA"/>
    <w:rsid w:val="009C14F8"/>
    <w:rsid w:val="009C2999"/>
    <w:rsid w:val="009C3537"/>
    <w:rsid w:val="009C7D37"/>
    <w:rsid w:val="009D050D"/>
    <w:rsid w:val="009D1727"/>
    <w:rsid w:val="009D2BA2"/>
    <w:rsid w:val="009D391C"/>
    <w:rsid w:val="009D4642"/>
    <w:rsid w:val="009D697E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2DFD"/>
    <w:rsid w:val="00A14048"/>
    <w:rsid w:val="00A154E2"/>
    <w:rsid w:val="00A16203"/>
    <w:rsid w:val="00A2103F"/>
    <w:rsid w:val="00A21206"/>
    <w:rsid w:val="00A22235"/>
    <w:rsid w:val="00A227CC"/>
    <w:rsid w:val="00A23354"/>
    <w:rsid w:val="00A24D86"/>
    <w:rsid w:val="00A265FA"/>
    <w:rsid w:val="00A266A1"/>
    <w:rsid w:val="00A309E6"/>
    <w:rsid w:val="00A3421F"/>
    <w:rsid w:val="00A36A84"/>
    <w:rsid w:val="00A442F0"/>
    <w:rsid w:val="00A45A22"/>
    <w:rsid w:val="00A5396F"/>
    <w:rsid w:val="00A5497F"/>
    <w:rsid w:val="00A56F9D"/>
    <w:rsid w:val="00A61D02"/>
    <w:rsid w:val="00A64909"/>
    <w:rsid w:val="00A65FD2"/>
    <w:rsid w:val="00A66974"/>
    <w:rsid w:val="00A66B4B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0B6A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1AE8"/>
    <w:rsid w:val="00AC2D22"/>
    <w:rsid w:val="00AC36B4"/>
    <w:rsid w:val="00AC3859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08F2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2B68"/>
    <w:rsid w:val="00BB3075"/>
    <w:rsid w:val="00BB77A5"/>
    <w:rsid w:val="00BB79CB"/>
    <w:rsid w:val="00BC226A"/>
    <w:rsid w:val="00BC254A"/>
    <w:rsid w:val="00BC3D7E"/>
    <w:rsid w:val="00BC3FB6"/>
    <w:rsid w:val="00BC7B9C"/>
    <w:rsid w:val="00BD02F2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2A9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1959"/>
    <w:rsid w:val="00C62D40"/>
    <w:rsid w:val="00C632E2"/>
    <w:rsid w:val="00C6700A"/>
    <w:rsid w:val="00C71867"/>
    <w:rsid w:val="00C75EB0"/>
    <w:rsid w:val="00C84F6B"/>
    <w:rsid w:val="00C860A1"/>
    <w:rsid w:val="00C91134"/>
    <w:rsid w:val="00C94BA9"/>
    <w:rsid w:val="00CA0563"/>
    <w:rsid w:val="00CA2FB0"/>
    <w:rsid w:val="00CA4D26"/>
    <w:rsid w:val="00CA5A57"/>
    <w:rsid w:val="00CB05BF"/>
    <w:rsid w:val="00CB2421"/>
    <w:rsid w:val="00CB621C"/>
    <w:rsid w:val="00CB6E59"/>
    <w:rsid w:val="00CC19A4"/>
    <w:rsid w:val="00CC3589"/>
    <w:rsid w:val="00CC3A9A"/>
    <w:rsid w:val="00CC3D94"/>
    <w:rsid w:val="00CC67ED"/>
    <w:rsid w:val="00CD16E2"/>
    <w:rsid w:val="00CD34C9"/>
    <w:rsid w:val="00CD5D47"/>
    <w:rsid w:val="00CE0B64"/>
    <w:rsid w:val="00CE347B"/>
    <w:rsid w:val="00CF0528"/>
    <w:rsid w:val="00CF490F"/>
    <w:rsid w:val="00D071FA"/>
    <w:rsid w:val="00D10942"/>
    <w:rsid w:val="00D11583"/>
    <w:rsid w:val="00D13922"/>
    <w:rsid w:val="00D13935"/>
    <w:rsid w:val="00D211BA"/>
    <w:rsid w:val="00D22543"/>
    <w:rsid w:val="00D23213"/>
    <w:rsid w:val="00D32EA0"/>
    <w:rsid w:val="00D3305B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2ABB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2A61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4E0C"/>
    <w:rsid w:val="00E15C60"/>
    <w:rsid w:val="00E16BBB"/>
    <w:rsid w:val="00E20604"/>
    <w:rsid w:val="00E3143D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657F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C5B2B"/>
    <w:rsid w:val="00ED624E"/>
    <w:rsid w:val="00ED779F"/>
    <w:rsid w:val="00EE25CD"/>
    <w:rsid w:val="00EE3E83"/>
    <w:rsid w:val="00EF4050"/>
    <w:rsid w:val="00EF6B22"/>
    <w:rsid w:val="00EF7F7A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40B7"/>
    <w:rsid w:val="00F26145"/>
    <w:rsid w:val="00F27E79"/>
    <w:rsid w:val="00F30B71"/>
    <w:rsid w:val="00F35200"/>
    <w:rsid w:val="00F37173"/>
    <w:rsid w:val="00F40F80"/>
    <w:rsid w:val="00F4338B"/>
    <w:rsid w:val="00F51300"/>
    <w:rsid w:val="00F52453"/>
    <w:rsid w:val="00F527BC"/>
    <w:rsid w:val="00F612D2"/>
    <w:rsid w:val="00F61786"/>
    <w:rsid w:val="00F648FF"/>
    <w:rsid w:val="00F70C8F"/>
    <w:rsid w:val="00F73E09"/>
    <w:rsid w:val="00F7656A"/>
    <w:rsid w:val="00F76ED8"/>
    <w:rsid w:val="00F77C31"/>
    <w:rsid w:val="00F80432"/>
    <w:rsid w:val="00F83FE3"/>
    <w:rsid w:val="00F9363A"/>
    <w:rsid w:val="00F971D3"/>
    <w:rsid w:val="00FA05F8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2978"/>
    <w:rsid w:val="00FE5119"/>
    <w:rsid w:val="00FE61C5"/>
    <w:rsid w:val="00FE6C81"/>
    <w:rsid w:val="00FE77AF"/>
    <w:rsid w:val="00FF286A"/>
    <w:rsid w:val="03F67B4C"/>
    <w:rsid w:val="28592ABD"/>
    <w:rsid w:val="2F5F3BF2"/>
    <w:rsid w:val="3199660F"/>
    <w:rsid w:val="33DE4130"/>
    <w:rsid w:val="3A316F85"/>
    <w:rsid w:val="3DFDBB7D"/>
    <w:rsid w:val="646F709F"/>
    <w:rsid w:val="66393F5F"/>
    <w:rsid w:val="7796183C"/>
    <w:rsid w:val="7F36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6CCDB"/>
  <w15:docId w15:val="{8384A3C5-81B2-4D36-81B8-DD8D6CFD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link w:val="a8"/>
    <w:semiHidden/>
    <w:qFormat/>
    <w:rPr>
      <w:rFonts w:ascii="Arial" w:hAnsi="Arial" w:cs="Arial"/>
      <w:color w:val="FF0000"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qFormat/>
    <w:pPr>
      <w:tabs>
        <w:tab w:val="center" w:pos="4153"/>
        <w:tab w:val="right" w:pos="8306"/>
      </w:tabs>
    </w:pPr>
  </w:style>
  <w:style w:type="paragraph" w:styleId="ae">
    <w:name w:val="Title"/>
    <w:basedOn w:val="a"/>
    <w:next w:val="a"/>
    <w:link w:val="af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0">
    <w:name w:val="annotation subject"/>
    <w:basedOn w:val="a5"/>
    <w:next w:val="a5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正文文本 字符"/>
    <w:link w:val="a7"/>
    <w:semiHidden/>
    <w:qFormat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uiPriority w:val="99"/>
    <w:qFormat/>
    <w:rPr>
      <w:rFonts w:ascii="Arial" w:hAnsi="Arial"/>
      <w:lang w:eastAsia="en-US"/>
    </w:rPr>
  </w:style>
  <w:style w:type="character" w:customStyle="1" w:styleId="af">
    <w:name w:val="标题 字符"/>
    <w:link w:val="a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character" w:customStyle="1" w:styleId="apple-tab-span">
    <w:name w:val="apple-tab-span"/>
    <w:basedOn w:val="a0"/>
    <w:qFormat/>
  </w:style>
  <w:style w:type="character" w:customStyle="1" w:styleId="ad">
    <w:name w:val="页眉 字符"/>
    <w:basedOn w:val="a0"/>
    <w:link w:val="ac"/>
    <w:qFormat/>
    <w:rPr>
      <w:lang w:eastAsia="en-US"/>
    </w:rPr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,列,列表段,P"/>
    <w:basedOn w:val="a"/>
    <w:link w:val="af8"/>
    <w:uiPriority w:val="34"/>
    <w:qFormat/>
    <w:pPr>
      <w:ind w:firstLineChars="200" w:firstLine="420"/>
    </w:pPr>
  </w:style>
  <w:style w:type="character" w:customStyle="1" w:styleId="af1">
    <w:name w:val="批注主题 字符"/>
    <w:basedOn w:val="a6"/>
    <w:link w:val="af0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/>
      <w:sz w:val="18"/>
      <w:szCs w:val="18"/>
      <w:lang w:eastAsia="en-US"/>
    </w:rPr>
  </w:style>
  <w:style w:type="paragraph" w:styleId="af9">
    <w:name w:val="Revision"/>
    <w:hidden/>
    <w:uiPriority w:val="99"/>
    <w:semiHidden/>
    <w:rsid w:val="001840B1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D6FF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6FF2"/>
    <w:rPr>
      <w:rFonts w:ascii="Arial" w:eastAsia="MS Mincho" w:hAnsi="Arial"/>
      <w:szCs w:val="24"/>
      <w:lang w:val="en-GB" w:eastAsia="en-GB"/>
    </w:rPr>
  </w:style>
  <w:style w:type="character" w:customStyle="1" w:styleId="af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basedOn w:val="a0"/>
    <w:link w:val="af7"/>
    <w:uiPriority w:val="34"/>
    <w:qFormat/>
    <w:locked/>
    <w:rsid w:val="009A79EF"/>
    <w:rPr>
      <w:lang w:val="en-GB" w:eastAsia="en-US"/>
    </w:rPr>
  </w:style>
  <w:style w:type="paragraph" w:customStyle="1" w:styleId="3GPPHeader">
    <w:name w:val="3GPP_Header"/>
    <w:basedOn w:val="a7"/>
    <w:rsid w:val="00047625"/>
    <w:pPr>
      <w:tabs>
        <w:tab w:val="left" w:pos="1701"/>
        <w:tab w:val="right" w:pos="9639"/>
      </w:tabs>
      <w:spacing w:after="240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customStyle="1" w:styleId="Reference">
    <w:name w:val="Reference"/>
    <w:basedOn w:val="a7"/>
    <w:rsid w:val="00047625"/>
    <w:pPr>
      <w:numPr>
        <w:numId w:val="11"/>
      </w:numPr>
      <w:spacing w:after="120"/>
      <w:jc w:val="both"/>
    </w:pPr>
    <w:rPr>
      <w:rFonts w:eastAsiaTheme="minorHAnsi" w:cstheme="minorBidi"/>
      <w:color w:val="auto"/>
      <w:szCs w:val="22"/>
      <w:lang w:val="en-US" w:eastAsia="zh-CN"/>
    </w:rPr>
  </w:style>
  <w:style w:type="paragraph" w:styleId="afa">
    <w:name w:val="Normal (Web)"/>
    <w:basedOn w:val="a"/>
    <w:uiPriority w:val="99"/>
    <w:unhideWhenUsed/>
    <w:rsid w:val="00245786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0">
    <w:name w:val="列出段落 字符1"/>
    <w:aliases w:val="- Bullets 字符1,목록 단락 字符1,リスト段落 字符1,?? ?? 字符1,????? 字符1,???? 字符1,Lista1 字符1,中等深浅网格 1 - 着色 21 字符1,列表段落 字符1,列出段落1 字符1,¥¡¡¡¡ì¬º¥¹¥È¶ÎÂä 字符1,ÁÐ³ö¶ÎÂä 字符1,列表段落1 字符1,—ño’i—Ž 字符1,¥ê¥¹¥È¶ÎÂä 字符1,List Paragraph 字符,ÁÐ³ö¶ÎÂä1 字符,ÖÐµÈÉîÇ³Íø¸ñ 1 - ×ÅÉ« 21 字符"/>
    <w:uiPriority w:val="34"/>
    <w:qFormat/>
    <w:locked/>
    <w:rsid w:val="0025674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3AC21-29B3-4464-A902-B80781C08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473</Words>
  <Characters>2699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张帅（Shuai Zhang6）</cp:lastModifiedBy>
  <cp:revision>14</cp:revision>
  <cp:lastPrinted>2002-04-24T07:10:00Z</cp:lastPrinted>
  <dcterms:created xsi:type="dcterms:W3CDTF">2024-09-27T03:32:00Z</dcterms:created>
  <dcterms:modified xsi:type="dcterms:W3CDTF">2024-11-06T09:35:00Z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 gV7TqedujVtCw3uNORfqOsexavY6eTT46pU9zSVsbcUQihzjhB51PmMfv/5gSDDhBsa9VfF5 dEIIEW79siDKaFiAV4qqfwJH2AwGCQj3v51e3EMHfdlClIRjEGQwZXTj+PQrOXhI5AhEBjIA 862uZS50IVa8MCp2hh</vt:lpwstr>
  </property>
  <property fmtid="{D5CDD505-2E9C-101B-9397-08002B2CF9AE}" pid="3" name="_2015_ms_pID_7253431">
    <vt:lpwstr>BGbKCcbfeM8QPELIWa6dc8KFgdaWMcMbESPM2W5bqBMd5tgkzKKhpH 7hVCh9RMarMjMuYoIj5vHSsdJgBVr9XOY2S7mVIX9t1FtZsKbmPZPXUuqNnqTtGXNeKyvXLX AO/7TDei03uwfGyV46BXs5KXo1cu0NtOncfp5nKpEYgTdiC1yIsvMilA4epbgZvMIZPFVnby 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2052-11.8.2.11718</vt:lpwstr>
  </property>
  <property fmtid="{D5CDD505-2E9C-101B-9397-08002B2CF9AE}" pid="11" name="ICV">
    <vt:lpwstr>0B2C0B2C71A64426A65B0062C1E8953C</vt:lpwstr>
  </property>
  <property fmtid="{D5CDD505-2E9C-101B-9397-08002B2CF9AE}" pid="12" name="CWM5afb1d3018ad11ef8000517900005079">
    <vt:lpwstr>CWM6bEvzDD0Gv3zTvHnJPDW2+WQ2a7p50AWxW/0WZKfkaAXgIpTbI0uOW+1pF3zpbhU6UQkys0brPgn8KIIOkDkNQ==</vt:lpwstr>
  </property>
</Properties>
</file>